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521"/>
        <w:gridCol w:w="4111"/>
        <w:gridCol w:w="1076"/>
        <w:gridCol w:w="20"/>
      </w:tblGrid>
      <w:tr w:rsidR="00A06425" w:rsidRPr="004B4123" w14:paraId="5CA981BB" w14:textId="77777777" w:rsidTr="00CF45BE">
        <w:tc>
          <w:tcPr>
            <w:tcW w:w="15692" w:type="dxa"/>
            <w:gridSpan w:val="7"/>
            <w:shd w:val="clear" w:color="auto" w:fill="auto"/>
            <w:vAlign w:val="center"/>
          </w:tcPr>
          <w:p w14:paraId="577FCB5D" w14:textId="295089B0" w:rsidR="006C6369" w:rsidRPr="0077406D" w:rsidRDefault="00A06425" w:rsidP="00DE4F4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projekt </w:t>
            </w:r>
            <w:r w:rsidR="00B9155E" w:rsidRPr="00B9155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rozporządzenia Ministra Zdrowia w sprawie rejestru endoprotezoplastyk (MZ DER1804)</w:t>
            </w:r>
            <w:r w:rsid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CF45BE">
        <w:trPr>
          <w:gridAfter w:val="1"/>
          <w:wAfter w:w="20" w:type="dxa"/>
        </w:trPr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76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CF45BE">
        <w:trPr>
          <w:gridAfter w:val="1"/>
          <w:wAfter w:w="20" w:type="dxa"/>
        </w:trPr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01C05F62" w:rsidR="009357E2" w:rsidRPr="0077406D" w:rsidRDefault="007D55F3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0124719D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Stosownie do informacji z pkt 6 OSR, zgodnie z którymi:</w:t>
            </w:r>
          </w:p>
          <w:p w14:paraId="6E274303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„Z uwagi na nieprzerwane funkcjonowanie rejestru endoprotezoplastyk od 2019 r. koszty jego funkcjonowania są finansowane ze środków przewidzianych w planie finansowym NFZ na dany rok, w ramach kosztów administracyjnych.</w:t>
            </w:r>
          </w:p>
          <w:p w14:paraId="7342C605" w14:textId="77CA20E2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Zwiększone koszty wynikające z dostosowania rejestru będą sfinansowane w ramach kosztów administracyjnych planu finansowego Centrali NFZ na rok 2026 (z pozycji właściwych dla danego rodzaju kosztów, w szczególności D2 – usługi obce), w ramach środków określonych zgodnie </w:t>
            </w:r>
            <w:r w:rsidR="00BF3EA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</w:t>
            </w:r>
            <w:r w:rsidRPr="002848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art. 131c ustawy o świadczeniach opieki zdrowotnej finansowanych ze środków publicznych.</w:t>
            </w:r>
          </w:p>
          <w:p w14:paraId="63B3A3D4" w14:textId="46C52B26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Wartość środków na koszty administracyjne ujętych w planie finansowym na rok 2026 umożliwia sfinansowanie zwiększonych kosztów prowadzenia rejestru endoprotezoplastyk wynikających </w:t>
            </w:r>
            <w:r w:rsidR="00D47B8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2848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 dostosowania rejestru.”</w:t>
            </w:r>
            <w:r w:rsidR="00165FBF" w:rsidRPr="00165FB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DA0D926" w14:textId="205C856D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należy zauważyć, że przedstawione sformułowanie odnosi się wyłącznie do jednego roku budżetowego. W związku z tym nie jest jednoznaczne</w:t>
            </w:r>
            <w:r w:rsidR="00BF3EA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 xml:space="preserve"> czy koszty związane z funkcjonowaniem i utrzymaniem dostosowanego rejestru będą ponoszone również w kolejnych latach, ani czy ich finansowanie w kolejnych okresach będzie realizowane </w:t>
            </w:r>
            <w:r w:rsidR="00D47B8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na analogicznych zasadach.</w:t>
            </w:r>
          </w:p>
          <w:p w14:paraId="1EB77E8B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7E582B" w14:textId="2848DCAB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Zasadne zatem wydaje się doprecyzowanie, czy zwiększone koszty wynikające z dostosowania rejestru mają charakter wyłącznie jednoroczny</w:t>
            </w:r>
            <w:r w:rsidR="00BF3EA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 xml:space="preserve">czy też stanowią koszty o charakterze stałym, występujące również w latach </w:t>
            </w:r>
            <w:r w:rsidR="00165FBF">
              <w:rPr>
                <w:rFonts w:asciiTheme="minorHAnsi" w:hAnsiTheme="minorHAnsi" w:cstheme="minorHAnsi"/>
                <w:sz w:val="22"/>
                <w:szCs w:val="22"/>
              </w:rPr>
              <w:t>kolejnych</w:t>
            </w: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, oraz w jakim trybie przewiduje się ich finansowanie w okresie wieloletnim.</w:t>
            </w:r>
          </w:p>
          <w:p w14:paraId="0A09098B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BFDB83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Wskazania wymagają również konkretne pozycje planu finansowego NFZ, z których dokona się zmniejszenia środków celem pokrycia kosztów wynikających z przedmiotowego rozwiązania.</w:t>
            </w:r>
          </w:p>
          <w:p w14:paraId="739CCC50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 kolei w odniesieniu do informacji, że </w:t>
            </w:r>
            <w:r w:rsidRPr="002848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„Zwiększone koszty wynikające z dostosowania rejestru będą sfinansowane w ramach kosztów administracyjnych planu finansowego Centrali NFZ na rok 2026 (…)”</w:t>
            </w: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, należy zauważyć, że w przedłożonym dokumencie nie przedstawiono szacunkowej wysokości tych kosztów.</w:t>
            </w:r>
          </w:p>
          <w:p w14:paraId="61570A0D" w14:textId="77777777" w:rsidR="00284857" w:rsidRPr="00284857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7B3577" w14:textId="77777777" w:rsidR="009357E2" w:rsidRDefault="00284857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 xml:space="preserve">Brak określenia skali finansowej przedmiotowych kosztów uniemożliwia pełną ocenę skutków finansowych projektowanej regulacji oraz jej wpływu na plan finansowy NFZ, w szczególności </w:t>
            </w:r>
            <w:r w:rsidR="00D47B8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84857">
              <w:rPr>
                <w:rFonts w:asciiTheme="minorHAnsi" w:hAnsiTheme="minorHAnsi" w:cstheme="minorHAnsi"/>
                <w:sz w:val="22"/>
                <w:szCs w:val="22"/>
              </w:rPr>
              <w:t>w kontekście alokacji środków w ramach kosztów administracyjnych.</w:t>
            </w:r>
          </w:p>
          <w:p w14:paraId="6BFED763" w14:textId="77777777" w:rsidR="00D47B81" w:rsidRDefault="00D47B81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861FE" w14:textId="6C10B145" w:rsidR="00D47B81" w:rsidRPr="007167B1" w:rsidRDefault="00DA4B8F" w:rsidP="002848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4B8F">
              <w:rPr>
                <w:rFonts w:asciiTheme="minorHAnsi" w:hAnsiTheme="minorHAnsi" w:cstheme="minorHAnsi"/>
                <w:sz w:val="22"/>
                <w:szCs w:val="22"/>
              </w:rPr>
              <w:t>W związku z powyższym zasadnym wydaje się uzupełnienie</w:t>
            </w:r>
            <w:r w:rsidR="00D47B81" w:rsidRPr="00D47B81">
              <w:rPr>
                <w:rFonts w:asciiTheme="minorHAnsi" w:hAnsiTheme="minorHAnsi" w:cstheme="minorHAnsi"/>
                <w:sz w:val="22"/>
                <w:szCs w:val="22"/>
              </w:rPr>
              <w:t xml:space="preserve"> OSR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D47B81" w:rsidRPr="00D47B81">
              <w:rPr>
                <w:rFonts w:asciiTheme="minorHAnsi" w:hAnsiTheme="minorHAnsi" w:cstheme="minorHAnsi"/>
                <w:sz w:val="22"/>
                <w:szCs w:val="22"/>
              </w:rPr>
              <w:t xml:space="preserve">o informacje dotyczące przewidywanej wielkości kosztów związanych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D47B81" w:rsidRPr="00D47B81">
              <w:rPr>
                <w:rFonts w:asciiTheme="minorHAnsi" w:hAnsiTheme="minorHAnsi" w:cstheme="minorHAnsi"/>
                <w:sz w:val="22"/>
                <w:szCs w:val="22"/>
              </w:rPr>
              <w:t>z dostosowaniem rejestru, celem zapewnienia kompletności oceny skutków regulacji.</w:t>
            </w:r>
          </w:p>
        </w:tc>
        <w:tc>
          <w:tcPr>
            <w:tcW w:w="4111" w:type="dxa"/>
            <w:shd w:val="clear" w:color="auto" w:fill="auto"/>
          </w:tcPr>
          <w:p w14:paraId="73D41DF8" w14:textId="6F6D7E54" w:rsidR="009357E2" w:rsidRPr="007167B1" w:rsidRDefault="00CF45BE" w:rsidP="00D47B8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Uzupełnienie </w:t>
            </w:r>
            <w:r w:rsidR="00D47B81">
              <w:rPr>
                <w:rFonts w:ascii="Calibri" w:hAnsi="Calibri" w:cs="Calibri"/>
                <w:sz w:val="22"/>
                <w:szCs w:val="22"/>
              </w:rPr>
              <w:t>OSR we wskazanym zakresie.</w:t>
            </w:r>
          </w:p>
        </w:tc>
        <w:tc>
          <w:tcPr>
            <w:tcW w:w="1076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D530F" w14:textId="77777777" w:rsidR="001446C0" w:rsidRDefault="001446C0" w:rsidP="00177C39">
      <w:r>
        <w:separator/>
      </w:r>
    </w:p>
  </w:endnote>
  <w:endnote w:type="continuationSeparator" w:id="0">
    <w:p w14:paraId="2C709751" w14:textId="77777777" w:rsidR="001446C0" w:rsidRDefault="001446C0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4170" w14:textId="77777777" w:rsidR="001446C0" w:rsidRDefault="001446C0" w:rsidP="00177C39">
      <w:r>
        <w:separator/>
      </w:r>
    </w:p>
  </w:footnote>
  <w:footnote w:type="continuationSeparator" w:id="0">
    <w:p w14:paraId="39022088" w14:textId="77777777" w:rsidR="001446C0" w:rsidRDefault="001446C0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D3D53"/>
    <w:rsid w:val="0011061D"/>
    <w:rsid w:val="00134EDA"/>
    <w:rsid w:val="00140BE8"/>
    <w:rsid w:val="001446C0"/>
    <w:rsid w:val="00144CC8"/>
    <w:rsid w:val="001538D1"/>
    <w:rsid w:val="00156004"/>
    <w:rsid w:val="00160299"/>
    <w:rsid w:val="00165FBF"/>
    <w:rsid w:val="00177C39"/>
    <w:rsid w:val="001916D6"/>
    <w:rsid w:val="0019648E"/>
    <w:rsid w:val="001E0AA1"/>
    <w:rsid w:val="001E6CC9"/>
    <w:rsid w:val="002116EE"/>
    <w:rsid w:val="00247D6B"/>
    <w:rsid w:val="002715B2"/>
    <w:rsid w:val="00281D0C"/>
    <w:rsid w:val="00284857"/>
    <w:rsid w:val="002D3345"/>
    <w:rsid w:val="0030053F"/>
    <w:rsid w:val="003124D1"/>
    <w:rsid w:val="0033458B"/>
    <w:rsid w:val="00342EAE"/>
    <w:rsid w:val="00375A04"/>
    <w:rsid w:val="00382D36"/>
    <w:rsid w:val="003B4105"/>
    <w:rsid w:val="004119F9"/>
    <w:rsid w:val="004966A8"/>
    <w:rsid w:val="004B4123"/>
    <w:rsid w:val="004D086F"/>
    <w:rsid w:val="004E3B77"/>
    <w:rsid w:val="00544A9C"/>
    <w:rsid w:val="00555FD0"/>
    <w:rsid w:val="005741DF"/>
    <w:rsid w:val="005811BB"/>
    <w:rsid w:val="0059209A"/>
    <w:rsid w:val="005975C6"/>
    <w:rsid w:val="005C20B1"/>
    <w:rsid w:val="005C520F"/>
    <w:rsid w:val="005E3BB5"/>
    <w:rsid w:val="005F6527"/>
    <w:rsid w:val="00611219"/>
    <w:rsid w:val="00632DD8"/>
    <w:rsid w:val="006656EA"/>
    <w:rsid w:val="006705EC"/>
    <w:rsid w:val="006C6369"/>
    <w:rsid w:val="006E013E"/>
    <w:rsid w:val="006E16E9"/>
    <w:rsid w:val="007167B1"/>
    <w:rsid w:val="007231AA"/>
    <w:rsid w:val="00756F02"/>
    <w:rsid w:val="0077406D"/>
    <w:rsid w:val="0079500D"/>
    <w:rsid w:val="007965BB"/>
    <w:rsid w:val="007B2E69"/>
    <w:rsid w:val="007B3476"/>
    <w:rsid w:val="007D55F3"/>
    <w:rsid w:val="00807385"/>
    <w:rsid w:val="00825A2F"/>
    <w:rsid w:val="0088500F"/>
    <w:rsid w:val="00906D07"/>
    <w:rsid w:val="009357E2"/>
    <w:rsid w:val="00944932"/>
    <w:rsid w:val="009520C3"/>
    <w:rsid w:val="009664EC"/>
    <w:rsid w:val="0098558F"/>
    <w:rsid w:val="009C22E4"/>
    <w:rsid w:val="009E5FDB"/>
    <w:rsid w:val="009F6037"/>
    <w:rsid w:val="00A06425"/>
    <w:rsid w:val="00A31A0A"/>
    <w:rsid w:val="00A43245"/>
    <w:rsid w:val="00A63767"/>
    <w:rsid w:val="00A75845"/>
    <w:rsid w:val="00AB2345"/>
    <w:rsid w:val="00AC7796"/>
    <w:rsid w:val="00AF549A"/>
    <w:rsid w:val="00B324BD"/>
    <w:rsid w:val="00B871B6"/>
    <w:rsid w:val="00B9155E"/>
    <w:rsid w:val="00BB2500"/>
    <w:rsid w:val="00BF3EAA"/>
    <w:rsid w:val="00C64B1B"/>
    <w:rsid w:val="00CD5EB0"/>
    <w:rsid w:val="00CE2EA1"/>
    <w:rsid w:val="00CF45BE"/>
    <w:rsid w:val="00CF6FB3"/>
    <w:rsid w:val="00D26D79"/>
    <w:rsid w:val="00D47B81"/>
    <w:rsid w:val="00D63B08"/>
    <w:rsid w:val="00D940EC"/>
    <w:rsid w:val="00DA4B8F"/>
    <w:rsid w:val="00DB1F32"/>
    <w:rsid w:val="00DE4F45"/>
    <w:rsid w:val="00DF4CB3"/>
    <w:rsid w:val="00E03A30"/>
    <w:rsid w:val="00E14C33"/>
    <w:rsid w:val="00E340EE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67</cp:revision>
  <dcterms:created xsi:type="dcterms:W3CDTF">2025-11-13T07:17:00Z</dcterms:created>
  <dcterms:modified xsi:type="dcterms:W3CDTF">2026-06-15T12:32:00Z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